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02"/>
        <w:gridCol w:w="925"/>
        <w:gridCol w:w="935"/>
      </w:tblGrid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Default="00C544E4" w:rsidP="00CB3E7C">
            <w:pPr>
              <w:pStyle w:val="Titre2"/>
              <w:outlineLvl w:val="1"/>
            </w:pP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Titre2"/>
              <w:outlineLvl w:val="1"/>
            </w:pPr>
            <w:r>
              <w:t>Bâche</w:t>
            </w: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Titre2"/>
              <w:outlineLvl w:val="1"/>
            </w:pPr>
            <w:r>
              <w:t>Atelier</w:t>
            </w: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Titre2"/>
              <w:outlineLvl w:val="1"/>
            </w:pPr>
            <w:r>
              <w:t>1</w:t>
            </w:r>
            <w:r w:rsidRPr="00343C6B">
              <w:t>) Communiquer à l’oral et à l’écrit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  <w:bookmarkStart w:id="0" w:name="_GoBack"/>
        <w:bookmarkEnd w:id="0"/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a) </w:t>
            </w:r>
            <w:r w:rsidRPr="00343C6B">
              <w:t>Traiter des informations orales et écrites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b) </w:t>
            </w:r>
            <w:r w:rsidRPr="00343C6B">
              <w:t>Transmettre des informations à l’oral et à l’écrit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c) </w:t>
            </w:r>
            <w:r w:rsidRPr="00343C6B">
              <w:t>Echanger oralement avec autrui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d) </w:t>
            </w:r>
            <w:r w:rsidRPr="00343C6B">
              <w:t>Echanger par écrit avec autrui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e) </w:t>
            </w:r>
            <w:r w:rsidRPr="00343C6B">
              <w:t>Argumenter un point de vue personnel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Titre2"/>
              <w:outlineLvl w:val="1"/>
            </w:pPr>
            <w:r w:rsidRPr="00343C6B">
              <w:t>2) Mobiliser les règles de calcul et le raisonnement en mathématiques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>a)</w:t>
            </w:r>
            <w:r w:rsidRPr="00343C6B">
              <w:t>Utiliser les nombres dans la vie quotidienne et professionnelle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b) </w:t>
            </w:r>
            <w:r w:rsidRPr="00343C6B">
              <w:t>Utiliser les outils mathémati</w:t>
            </w:r>
            <w:r>
              <w:t>q</w:t>
            </w:r>
            <w:r w:rsidRPr="00343C6B">
              <w:t>ues dans les situations de la vie quotidienne et professionnelle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c) </w:t>
            </w:r>
            <w:r w:rsidRPr="00343C6B">
              <w:t>Utiliser les notions de grandeurs et de mesure dans les situations de la vie quotidienne et professionnelle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d) </w:t>
            </w:r>
            <w:r w:rsidRPr="00343C6B">
              <w:t>Se repérer dans l’espace et le temps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Titre2"/>
              <w:outlineLvl w:val="1"/>
            </w:pPr>
            <w:r w:rsidRPr="00343C6B">
              <w:t>3) Utiliser les techniques usuelles de l’information et de la communication numérique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a) </w:t>
            </w:r>
            <w:r w:rsidRPr="00343C6B">
              <w:t>Se repérer dans l’univers numérique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b) </w:t>
            </w:r>
            <w:r w:rsidRPr="00343C6B">
              <w:t>Utiliser les fonctionnalités des outils numériques pour communiquer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c) </w:t>
            </w:r>
            <w:r w:rsidRPr="00343C6B">
              <w:t>Utiliser le numérique dans ses pratiques de la vie courante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 w:rsidRPr="00343C6B">
              <w:t>Gérer son identité numérique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d) </w:t>
            </w:r>
            <w:r w:rsidRPr="00343C6B">
              <w:t>Adapter une ligne de conduite dans la société numérique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Titre2"/>
              <w:outlineLvl w:val="1"/>
            </w:pPr>
            <w:r w:rsidRPr="00343C6B">
              <w:t>4) Agir dans le cadre d’un collectif (équipe, groupe de stagiaires, association, groupe projet…)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a) </w:t>
            </w:r>
            <w:r w:rsidRPr="00343C6B">
              <w:t>Identifier les règles du collectif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b) </w:t>
            </w:r>
            <w:r w:rsidRPr="00343C6B">
              <w:t>Adapter son comportement au cadre collectif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c) </w:t>
            </w:r>
            <w:r w:rsidRPr="00343C6B">
              <w:t>Apporter sa contribution au collectif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Titre2"/>
              <w:outlineLvl w:val="1"/>
            </w:pPr>
            <w:r w:rsidRPr="00343C6B">
              <w:t>5) Préparer son avenir professionnel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a) </w:t>
            </w:r>
            <w:r w:rsidRPr="00343C6B">
              <w:t>Formuler des objectifs personnels et ou professionnels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b) </w:t>
            </w:r>
            <w:r w:rsidRPr="00343C6B">
              <w:t>Mettre en œuvre ses objectifs en fonction de ses priorités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c) </w:t>
            </w:r>
            <w:r w:rsidRPr="00343C6B">
              <w:t>Adapter ses objectifs en fonction de ses opportunités et contrai</w:t>
            </w:r>
            <w:r>
              <w:t>n</w:t>
            </w:r>
            <w:r w:rsidRPr="00343C6B">
              <w:t>tes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86239" w:rsidTr="00C544E4">
        <w:trPr>
          <w:jc w:val="center"/>
        </w:trPr>
        <w:tc>
          <w:tcPr>
            <w:tcW w:w="7202" w:type="dxa"/>
            <w:shd w:val="clear" w:color="auto" w:fill="auto"/>
          </w:tcPr>
          <w:p w:rsidR="00C544E4" w:rsidRPr="00386239" w:rsidRDefault="00C544E4" w:rsidP="00CB3E7C">
            <w:pPr>
              <w:pStyle w:val="Titre2"/>
              <w:outlineLvl w:val="1"/>
            </w:pPr>
            <w:r w:rsidRPr="00386239">
              <w:t>6) Apprendre tout au long de sa vie</w:t>
            </w:r>
          </w:p>
        </w:tc>
        <w:tc>
          <w:tcPr>
            <w:tcW w:w="925" w:type="dxa"/>
            <w:shd w:val="clear" w:color="auto" w:fill="auto"/>
          </w:tcPr>
          <w:p w:rsidR="00C544E4" w:rsidRPr="00386239" w:rsidRDefault="00C544E4" w:rsidP="00CB3E7C">
            <w:pPr>
              <w:pStyle w:val="Titre2"/>
              <w:outlineLvl w:val="1"/>
            </w:pPr>
          </w:p>
        </w:tc>
        <w:tc>
          <w:tcPr>
            <w:tcW w:w="935" w:type="dxa"/>
            <w:shd w:val="clear" w:color="auto" w:fill="auto"/>
          </w:tcPr>
          <w:p w:rsidR="00C544E4" w:rsidRPr="00386239" w:rsidRDefault="00C544E4" w:rsidP="00CB3E7C">
            <w:pPr>
              <w:pStyle w:val="Titre2"/>
              <w:outlineLvl w:val="1"/>
            </w:pPr>
          </w:p>
        </w:tc>
      </w:tr>
      <w:tr w:rsidR="00C544E4" w:rsidRPr="00386239" w:rsidTr="00C544E4">
        <w:trPr>
          <w:jc w:val="center"/>
        </w:trPr>
        <w:tc>
          <w:tcPr>
            <w:tcW w:w="7202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</w:pPr>
            <w:r w:rsidRPr="00386239">
              <w:t>a) Identifier ses acquis (connaissances, manières de faire et d’apprendre, Habiletés)</w:t>
            </w:r>
          </w:p>
        </w:tc>
        <w:tc>
          <w:tcPr>
            <w:tcW w:w="925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</w:pPr>
          </w:p>
        </w:tc>
        <w:tc>
          <w:tcPr>
            <w:tcW w:w="935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</w:pPr>
          </w:p>
        </w:tc>
      </w:tr>
      <w:tr w:rsidR="00C544E4" w:rsidRPr="00386239" w:rsidTr="00C544E4">
        <w:trPr>
          <w:jc w:val="center"/>
        </w:trPr>
        <w:tc>
          <w:tcPr>
            <w:tcW w:w="7202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</w:pPr>
            <w:r w:rsidRPr="00386239">
              <w:t>b) Entretenir ses acquis</w:t>
            </w:r>
          </w:p>
        </w:tc>
        <w:tc>
          <w:tcPr>
            <w:tcW w:w="925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</w:pPr>
          </w:p>
        </w:tc>
        <w:tc>
          <w:tcPr>
            <w:tcW w:w="935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</w:pPr>
          </w:p>
        </w:tc>
      </w:tr>
      <w:tr w:rsidR="00C544E4" w:rsidRPr="00386239" w:rsidTr="00C544E4">
        <w:trPr>
          <w:jc w:val="center"/>
        </w:trPr>
        <w:tc>
          <w:tcPr>
            <w:tcW w:w="7202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  <w:rPr>
                <w:i/>
              </w:rPr>
            </w:pPr>
            <w:r w:rsidRPr="00386239">
              <w:rPr>
                <w:i/>
                <w:color w:val="00B0F0"/>
              </w:rPr>
              <w:t>Développer ses acquis</w:t>
            </w:r>
          </w:p>
        </w:tc>
        <w:tc>
          <w:tcPr>
            <w:tcW w:w="925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  <w:rPr>
                <w:i/>
              </w:rPr>
            </w:pPr>
          </w:p>
        </w:tc>
        <w:tc>
          <w:tcPr>
            <w:tcW w:w="935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  <w:rPr>
                <w:i/>
              </w:rPr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  <w:shd w:val="clear" w:color="auto" w:fill="auto"/>
          </w:tcPr>
          <w:p w:rsidR="00C544E4" w:rsidRPr="00386239" w:rsidRDefault="00C544E4" w:rsidP="00CB3E7C">
            <w:pPr>
              <w:pStyle w:val="Sansinterligne"/>
            </w:pPr>
            <w:r w:rsidRPr="00386239">
              <w:t>c) Utiliser ses relations pour évoluer professionnellement et ou socialement</w:t>
            </w:r>
          </w:p>
        </w:tc>
        <w:tc>
          <w:tcPr>
            <w:tcW w:w="925" w:type="dxa"/>
            <w:shd w:val="clear" w:color="auto" w:fill="auto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  <w:shd w:val="clear" w:color="auto" w:fill="auto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Titre2"/>
              <w:outlineLvl w:val="1"/>
            </w:pPr>
            <w:r w:rsidRPr="00343C6B">
              <w:t>7) Agir dans son environnement et au travail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a) </w:t>
            </w:r>
            <w:r w:rsidRPr="00343C6B">
              <w:t>Repérer les règles e</w:t>
            </w:r>
            <w:r>
              <w:t>n</w:t>
            </w:r>
            <w:r w:rsidRPr="00343C6B">
              <w:t xml:space="preserve"> vigueur dans son environnement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>b) Agir en toute sécurité pour soi-</w:t>
            </w:r>
            <w:r w:rsidRPr="00343C6B">
              <w:t>même et pour les autres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c) </w:t>
            </w:r>
            <w:r w:rsidRPr="00343C6B">
              <w:t>Appliquer les geste</w:t>
            </w:r>
            <w:r>
              <w:t>s</w:t>
            </w:r>
            <w:r w:rsidRPr="00343C6B">
              <w:t xml:space="preserve"> de premier secours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d) </w:t>
            </w:r>
            <w:r w:rsidRPr="00343C6B">
              <w:t>Contribuer à la préservation de l’environnement et aux économies d’énergie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Titre2"/>
              <w:outlineLvl w:val="1"/>
            </w:pPr>
            <w:r w:rsidRPr="00343C6B">
              <w:t>8) S’ouvrir à la vie culturelle, sociale et citoyenne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Titre2"/>
              <w:outlineLvl w:val="1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a) </w:t>
            </w:r>
            <w:r w:rsidRPr="00343C6B">
              <w:t>Pratiquer une activité physique ou sportive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b) </w:t>
            </w:r>
            <w:r w:rsidRPr="00343C6B">
              <w:t>Participer à des activités culturelles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  <w:tr w:rsidR="00C544E4" w:rsidRPr="00343C6B" w:rsidTr="00C544E4">
        <w:trPr>
          <w:jc w:val="center"/>
        </w:trPr>
        <w:tc>
          <w:tcPr>
            <w:tcW w:w="7202" w:type="dxa"/>
          </w:tcPr>
          <w:p w:rsidR="00C544E4" w:rsidRPr="00343C6B" w:rsidRDefault="00C544E4" w:rsidP="00CB3E7C">
            <w:pPr>
              <w:pStyle w:val="Sansinterligne"/>
            </w:pPr>
            <w:r>
              <w:t xml:space="preserve">c) </w:t>
            </w:r>
            <w:r w:rsidRPr="00343C6B">
              <w:t>Participer à la vie sociale et citoyenne</w:t>
            </w:r>
          </w:p>
        </w:tc>
        <w:tc>
          <w:tcPr>
            <w:tcW w:w="925" w:type="dxa"/>
          </w:tcPr>
          <w:p w:rsidR="00C544E4" w:rsidRPr="00343C6B" w:rsidRDefault="00C544E4" w:rsidP="00CB3E7C">
            <w:pPr>
              <w:pStyle w:val="Sansinterligne"/>
            </w:pPr>
          </w:p>
        </w:tc>
        <w:tc>
          <w:tcPr>
            <w:tcW w:w="935" w:type="dxa"/>
          </w:tcPr>
          <w:p w:rsidR="00C544E4" w:rsidRPr="00343C6B" w:rsidRDefault="00C544E4" w:rsidP="00CB3E7C">
            <w:pPr>
              <w:pStyle w:val="Sansinterligne"/>
            </w:pPr>
          </w:p>
        </w:tc>
      </w:tr>
    </w:tbl>
    <w:p w:rsidR="00854D9F" w:rsidRDefault="00C544E4"/>
    <w:sectPr w:rsidR="00854D9F" w:rsidSect="00C54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4"/>
    <w:rsid w:val="004B4CF1"/>
    <w:rsid w:val="00821B30"/>
    <w:rsid w:val="00C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7AE2-26D2-4DF9-9A94-10A499A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E4"/>
    <w:pPr>
      <w:spacing w:line="240" w:lineRule="auto"/>
      <w:jc w:val="both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44E4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44E4"/>
    <w:rPr>
      <w:rFonts w:asciiTheme="majorHAnsi" w:eastAsiaTheme="majorEastAsia" w:hAnsiTheme="majorHAnsi" w:cstheme="majorBidi"/>
      <w:b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C544E4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C5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C5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DECROIX</dc:creator>
  <cp:keywords/>
  <dc:description/>
  <cp:lastModifiedBy>Jean-Pierre DECROIX</cp:lastModifiedBy>
  <cp:revision>1</cp:revision>
  <dcterms:created xsi:type="dcterms:W3CDTF">2022-04-13T10:03:00Z</dcterms:created>
  <dcterms:modified xsi:type="dcterms:W3CDTF">2022-04-13T10:06:00Z</dcterms:modified>
</cp:coreProperties>
</file>